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ind/>
        <w:jc w:val="center"/>
        <w:rPr>
          <w:rFonts w:ascii="Segoe UI" w:hAnsi="Segoe UI"/>
          <w:b w:val="1"/>
          <w:sz w:val="28"/>
        </w:rPr>
      </w:pPr>
    </w:p>
    <w:p w14:paraId="05000000">
      <w:pPr>
        <w:ind/>
        <w:jc w:val="center"/>
        <w:rPr>
          <w:rFonts w:ascii="Segoe UI" w:hAnsi="Segoe UI"/>
          <w:b w:val="1"/>
          <w:sz w:val="28"/>
        </w:rPr>
      </w:pPr>
    </w:p>
    <w:p w14:paraId="06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 xml:space="preserve">Более 16 тысяч квадратных метров </w:t>
      </w:r>
      <w:r>
        <w:rPr>
          <w:rFonts w:ascii="Segoe UI" w:hAnsi="Segoe UI"/>
          <w:b w:val="1"/>
          <w:sz w:val="28"/>
        </w:rPr>
        <w:t xml:space="preserve">земли </w:t>
      </w:r>
      <w:r>
        <w:rPr>
          <w:rFonts w:ascii="Segoe UI" w:hAnsi="Segoe UI"/>
          <w:b w:val="1"/>
          <w:sz w:val="28"/>
        </w:rPr>
        <w:t xml:space="preserve">зарегистрировано </w:t>
      </w:r>
      <w:r>
        <w:rPr>
          <w:rFonts w:ascii="Segoe UI" w:hAnsi="Segoe UI"/>
          <w:b w:val="1"/>
          <w:sz w:val="28"/>
        </w:rPr>
        <w:t xml:space="preserve">нижегородским </w:t>
      </w:r>
      <w:r>
        <w:rPr>
          <w:rFonts w:ascii="Segoe UI" w:hAnsi="Segoe UI"/>
          <w:b w:val="1"/>
          <w:sz w:val="28"/>
        </w:rPr>
        <w:t>Росреестром по «гаражной амнистии»</w:t>
      </w:r>
    </w:p>
    <w:p w14:paraId="07000000">
      <w:pPr>
        <w:ind/>
        <w:jc w:val="center"/>
        <w:rPr>
          <w:rFonts w:ascii="Segoe UI" w:hAnsi="Segoe UI"/>
          <w:b w:val="1"/>
          <w:sz w:val="28"/>
        </w:rPr>
      </w:pPr>
    </w:p>
    <w:p w14:paraId="08000000">
      <w:pPr>
        <w:ind/>
        <w:jc w:val="both"/>
        <w:rPr>
          <w:rFonts w:ascii="Segoe UI" w:hAnsi="Segoe UI"/>
        </w:rPr>
      </w:pPr>
    </w:p>
    <w:p w14:paraId="09000000">
      <w:pPr>
        <w:ind/>
        <w:jc w:val="both"/>
        <w:rPr>
          <w:rFonts w:ascii="Segoe UI" w:hAnsi="Segoe UI"/>
          <w:i w:val="1"/>
          <w:color w:val="262626"/>
          <w:highlight w:val="white"/>
        </w:rPr>
      </w:pPr>
      <w:r>
        <w:rPr>
          <w:rFonts w:ascii="Segoe UI" w:hAnsi="Segoe UI"/>
        </w:rPr>
        <w:t>С сентября 2021 по март 2022 года в Нижегородской области</w:t>
      </w:r>
      <w:r>
        <w:rPr>
          <w:rFonts w:ascii="Segoe UI" w:hAnsi="Segoe UI"/>
        </w:rPr>
        <w:t xml:space="preserve"> по «гаражной амнистии»</w:t>
      </w:r>
      <w:r>
        <w:rPr>
          <w:rFonts w:ascii="Segoe UI" w:hAnsi="Segoe UI"/>
        </w:rPr>
        <w:t xml:space="preserve"> оформлено 528 земельных участков площадью 16490,9 кв. м и 161 гараж.</w:t>
      </w:r>
    </w:p>
    <w:p w14:paraId="0A000000">
      <w:pPr>
        <w:ind/>
        <w:jc w:val="both"/>
        <w:rPr>
          <w:rFonts w:ascii="Segoe UI" w:hAnsi="Segoe UI"/>
          <w:i w:val="1"/>
          <w:color w:val="262626"/>
          <w:highlight w:val="white"/>
        </w:rPr>
      </w:pPr>
    </w:p>
    <w:p w14:paraId="0B000000">
      <w:pPr>
        <w:ind/>
        <w:jc w:val="both"/>
        <w:rPr>
          <w:rFonts w:ascii="Segoe UI" w:hAnsi="Segoe UI"/>
          <w:b w:val="1"/>
          <w:i w:val="1"/>
        </w:rPr>
      </w:pPr>
      <w:r>
        <w:rPr>
          <w:rFonts w:ascii="Segoe UI" w:hAnsi="Segoe UI"/>
          <w:i w:val="1"/>
        </w:rPr>
        <w:t>«На территории Нижегородской области имеются гаражи, оформление прав на которые стало возможно с вступлением в действие как федерального закона</w:t>
      </w:r>
      <w:r>
        <w:rPr>
          <w:rFonts w:ascii="Segoe UI" w:hAnsi="Segoe UI"/>
          <w:i w:val="1"/>
        </w:rPr>
        <w:t xml:space="preserve"> </w:t>
      </w:r>
      <w:r>
        <w:rPr>
          <w:rFonts w:ascii="Segoe UI" w:hAnsi="Segoe UI"/>
          <w:color w:val="262626"/>
          <w:highlight w:val="white"/>
        </w:rPr>
        <w:t>от 05.04.2021 №79-ФЗ</w:t>
      </w:r>
      <w:r>
        <w:rPr>
          <w:rFonts w:ascii="Segoe UI" w:hAnsi="Segoe UI"/>
          <w:i w:val="1"/>
        </w:rPr>
        <w:t>, так и закона Нижегородской области</w:t>
      </w:r>
      <w:r>
        <w:rPr>
          <w:rFonts w:ascii="Segoe UI" w:hAnsi="Segoe UI"/>
          <w:i w:val="1"/>
        </w:rPr>
        <w:t xml:space="preserve"> </w:t>
      </w:r>
      <w:r>
        <w:rPr>
          <w:rFonts w:ascii="Segoe UI" w:hAnsi="Segoe UI"/>
          <w:i w:val="1"/>
          <w:sz w:val="26"/>
        </w:rPr>
        <w:t>от 11.08.2021 N 93-З</w:t>
      </w:r>
      <w:r>
        <w:rPr>
          <w:rFonts w:ascii="Segoe UI" w:hAnsi="Segoe UI"/>
          <w:i w:val="1"/>
        </w:rPr>
        <w:t xml:space="preserve">. Управление Росреестра по Нижегородской области совместно со смежными ведомствами и органами местного самоуправления проводят консультационные мероприятия в целях оказания практической помощи населению, формирования единой правоприменительной практики в сфере регистрации прав на объекты «бытовой недвижимости» - отметила руководитель Управления Росреестра по Нижегородской области </w:t>
      </w:r>
      <w:r>
        <w:rPr>
          <w:rFonts w:ascii="Segoe UI" w:hAnsi="Segoe UI"/>
          <w:b w:val="1"/>
          <w:i w:val="1"/>
        </w:rPr>
        <w:t>Наталья Корионова.</w:t>
      </w:r>
    </w:p>
    <w:p w14:paraId="0C000000">
      <w:pPr>
        <w:ind/>
        <w:jc w:val="both"/>
        <w:rPr>
          <w:rFonts w:ascii="Segoe UI" w:hAnsi="Segoe UI"/>
          <w:b w:val="1"/>
          <w:i w:val="1"/>
        </w:rPr>
      </w:pPr>
    </w:p>
    <w:p w14:paraId="0D000000">
      <w:pPr>
        <w:ind/>
        <w:jc w:val="both"/>
        <w:rPr>
          <w:rFonts w:ascii="Segoe UI" w:hAnsi="Segoe UI"/>
          <w:color w:val="262626"/>
          <w:highlight w:val="white"/>
        </w:rPr>
      </w:pPr>
      <w:r>
        <w:rPr>
          <w:rFonts w:ascii="Segoe UI" w:hAnsi="Segoe UI"/>
          <w:color w:val="262626"/>
          <w:highlight w:val="white"/>
        </w:rPr>
        <w:t>В 2021</w:t>
      </w:r>
      <w:r>
        <w:rPr>
          <w:rFonts w:ascii="Segoe UI" w:hAnsi="Segoe UI"/>
          <w:color w:val="262626"/>
          <w:highlight w:val="white"/>
        </w:rPr>
        <w:t xml:space="preserve"> году </w:t>
      </w:r>
      <w:r>
        <w:rPr>
          <w:rFonts w:ascii="Segoe UI" w:hAnsi="Segoe UI"/>
          <w:color w:val="262626"/>
          <w:highlight w:val="white"/>
        </w:rPr>
        <w:t xml:space="preserve">на территории Нижегородской области была </w:t>
      </w:r>
      <w:r>
        <w:rPr>
          <w:rFonts w:ascii="Segoe UI" w:hAnsi="Segoe UI"/>
          <w:color w:val="262626"/>
          <w:highlight w:val="white"/>
        </w:rPr>
        <w:t xml:space="preserve">утверждена совместная с </w:t>
      </w:r>
      <w:r>
        <w:rPr>
          <w:rFonts w:ascii="Segoe UI" w:hAnsi="Segoe UI"/>
          <w:color w:val="262626"/>
          <w:highlight w:val="white"/>
        </w:rPr>
        <w:t>Правительством Нижегородской области</w:t>
      </w:r>
      <w:r>
        <w:rPr>
          <w:rFonts w:ascii="Segoe UI" w:hAnsi="Segoe UI"/>
          <w:color w:val="262626"/>
          <w:highlight w:val="white"/>
        </w:rPr>
        <w:t xml:space="preserve"> дорожная карта, мероприятия которой помогли скоординировать действия всех участников процесса </w:t>
      </w:r>
      <w:r>
        <w:rPr>
          <w:rFonts w:ascii="Segoe UI" w:hAnsi="Segoe UI"/>
          <w:color w:val="262626"/>
          <w:highlight w:val="white"/>
        </w:rPr>
        <w:t>реализации «гаражной амнистии».</w:t>
      </w:r>
    </w:p>
    <w:p w14:paraId="0E000000">
      <w:pPr>
        <w:ind/>
        <w:jc w:val="both"/>
        <w:rPr>
          <w:rFonts w:ascii="Segoe UI" w:hAnsi="Segoe UI"/>
          <w:i w:val="1"/>
          <w:color w:val="262626"/>
          <w:highlight w:val="white"/>
        </w:rPr>
      </w:pPr>
    </w:p>
    <w:p w14:paraId="0F000000">
      <w:pPr>
        <w:ind/>
        <w:jc w:val="both"/>
        <w:rPr>
          <w:rFonts w:ascii="Segoe UI" w:hAnsi="Segoe UI"/>
          <w:color w:val="262626"/>
          <w:highlight w:val="white"/>
        </w:rPr>
      </w:pPr>
      <w:r>
        <w:rPr>
          <w:rFonts w:ascii="Segoe UI" w:hAnsi="Segoe UI"/>
          <w:color w:val="262626"/>
          <w:highlight w:val="white"/>
        </w:rPr>
        <w:t>Применение Закона «о гаражной амнистии» обеспечивается государственными и муниципальными органами на постоянной основе. Ранее Росреестр разработал методические рекомендации, которые помогают разобраться с процедурой оформления гаражей в упрощенном порядке. Также ведомство публикует ответы на часто задаваемые вопросы по реализации положений «гаражной амнистии».</w:t>
      </w:r>
    </w:p>
    <w:p w14:paraId="10000000">
      <w:pPr>
        <w:ind/>
        <w:jc w:val="both"/>
        <w:rPr>
          <w:rFonts w:ascii="Segoe UI" w:hAnsi="Segoe UI"/>
          <w:i w:val="1"/>
          <w:color w:val="262626"/>
          <w:highlight w:val="white"/>
        </w:rPr>
      </w:pPr>
    </w:p>
    <w:p w14:paraId="11000000">
      <w:pPr>
        <w:ind/>
        <w:jc w:val="both"/>
        <w:rPr>
          <w:rFonts w:ascii="Segoe UI" w:hAnsi="Segoe UI"/>
          <w:color w:val="262626"/>
          <w:highlight w:val="white"/>
        </w:rPr>
      </w:pPr>
      <w:r>
        <w:rPr>
          <w:rFonts w:ascii="Segoe UI" w:hAnsi="Segoe UI"/>
          <w:color w:val="262626"/>
          <w:highlight w:val="white"/>
        </w:rPr>
        <w:t>Федеральный закон от 05.04.2021 №79-ФЗ «О внесении изменений в отдельные законодательные акты Российской Федерации» устанавливает, что до 1 сентября 2026 года гражданин, использующий гараж, являющийся объектом капитального строительства и возведенный до дня введения в действие Градостроительного кодекса РФ, имеет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 (в том числе с которой этот гражданин состоял в трудовых или иных отношениях), либо иным образом выделен ему, либо право на использование такого земельного участка возникло у гражданина по иным основаниям.</w:t>
      </w:r>
    </w:p>
    <w:p w14:paraId="12000000">
      <w:pPr>
        <w:ind/>
        <w:jc w:val="both"/>
        <w:rPr>
          <w:rFonts w:ascii="Segoe UI" w:hAnsi="Segoe UI"/>
          <w:i w:val="1"/>
          <w:color w:val="262626"/>
          <w:highlight w:val="white"/>
        </w:rPr>
      </w:pPr>
    </w:p>
    <w:p w14:paraId="1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  <w:r>
        <w:rPr>
          <w:rFonts w:ascii="Segoe UI" w:hAnsi="Segoe UI"/>
          <w:i w:val="1"/>
          <w:color w:val="262626"/>
          <w:highlight w:val="white"/>
        </w:rPr>
        <w:t>*  Общее количество гаражей, в отношении которых осуществлены государственный кадастровый учет и (или) государственная регистрация прав в рамках Закона № 79-ФЗ, в том числе внесены изменения в записи ЕГРН путем указания на вид объекта «здание» и на его назначение «гараж</w:t>
      </w:r>
      <w:r>
        <w:rPr>
          <w:rFonts w:ascii="Segoe UI" w:hAnsi="Segoe UI"/>
          <w:i w:val="1"/>
          <w:color w:val="262626"/>
          <w:sz w:val="26"/>
          <w:highlight w:val="white"/>
        </w:rPr>
        <w:t>».</w:t>
      </w:r>
    </w:p>
    <w:p w14:paraId="1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1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2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D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2E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2F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30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31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3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Normal (Web)"/>
    <w:basedOn w:val="Style_1"/>
    <w:link w:val="Style_4_ch"/>
    <w:pPr>
      <w:spacing w:afterAutospacing="on" w:beforeAutospacing="on"/>
      <w:ind/>
    </w:pPr>
  </w:style>
  <w:style w:styleId="Style_4_ch" w:type="character">
    <w:name w:val="Normal (Web)"/>
    <w:basedOn w:val="Style_1_ch"/>
    <w:link w:val="Style_4"/>
  </w:style>
  <w:style w:styleId="Style_5" w:type="paragraph">
    <w:name w:val="Body Text Indent 2"/>
    <w:basedOn w:val="Style_1"/>
    <w:link w:val="Style_5_ch"/>
    <w:pPr>
      <w:ind w:firstLine="480"/>
      <w:jc w:val="both"/>
    </w:pPr>
    <w:rPr>
      <w:sz w:val="28"/>
    </w:rPr>
  </w:style>
  <w:style w:styleId="Style_5_ch" w:type="character">
    <w:name w:val="Body Text Indent 2"/>
    <w:basedOn w:val="Style_1_ch"/>
    <w:link w:val="Style_5"/>
    <w:rPr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Balloon Text"/>
    <w:basedOn w:val="Style_1"/>
    <w:link w:val="Style_7_ch"/>
    <w:rPr>
      <w:rFonts w:ascii="Tahoma" w:hAnsi="Tahoma"/>
      <w:sz w:val="16"/>
    </w:rPr>
  </w:style>
  <w:style w:styleId="Style_7_ch" w:type="character">
    <w:name w:val="Balloon Text"/>
    <w:basedOn w:val="Style_1_ch"/>
    <w:link w:val="Style_7"/>
    <w:rPr>
      <w:rFonts w:ascii="Tahoma" w:hAnsi="Tahoma"/>
      <w:sz w:val="16"/>
    </w:rPr>
  </w:style>
  <w:style w:styleId="Style_8" w:type="paragraph">
    <w:name w:val="toc 7"/>
    <w:next w:val="Style_1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1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1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basedOn w:val="Style_1"/>
    <w:link w:val="Style_13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3_ch" w:type="character">
    <w:name w:val="heading 1"/>
    <w:basedOn w:val="Style_1_ch"/>
    <w:link w:val="Style_13"/>
    <w:rPr>
      <w:b w:val="1"/>
      <w:sz w:val="4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List Paragraph"/>
    <w:basedOn w:val="Style_1"/>
    <w:link w:val="Style_1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8_ch" w:type="character">
    <w:name w:val="List Paragraph"/>
    <w:basedOn w:val="Style_1_ch"/>
    <w:link w:val="Style_18"/>
    <w:rPr>
      <w:rFonts w:ascii="Calibri" w:hAnsi="Calibri"/>
      <w:sz w:val="22"/>
    </w:rPr>
  </w:style>
  <w:style w:styleId="Style_19" w:type="paragraph">
    <w:name w:val="toc 9"/>
    <w:next w:val="Style_1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1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1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1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1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1_ch"/>
    <w:link w:val="Style_24"/>
    <w:rPr>
      <w:sz w:val="28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2022-05-26T06:56:15Z</dcterms:modified>
</cp:coreProperties>
</file>